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天津市医学考试中心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承担医学考试、卫生健康业务培训的组织实施和技术服务，以及卫生技术人员评价等工作；承担主管部门交办的其他事项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部门本级（内设10个机构），具体构成如下：1.天津市医学考试中心本级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天津市医学考试中心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13253095.74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14192446.95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1272812.00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26353649.62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6957.08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27452499.77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27626461.62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173961.85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27626461.62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27626461.62</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27452499.77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13253095.74</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14192446.95</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6957.08</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1272812.00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1272812.00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333812.00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333812.00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333812.00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333812.00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26179687.77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11980283.74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14192446.95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6957.08</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17643004.03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3443600.00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14192446.95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6957.08</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其他卫生健康管理事务支出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17643004.03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3443600.00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14192446.95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6957.08</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266683.74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266683.74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221683.74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221683.74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天津市医学考试中心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27626461.62</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27452499.77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13253095.74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14192446.95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6957.08</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368227</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天津市医学考试中心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27626461.62</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27452499.77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13253095.74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14192446.95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6957.08</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天津市医学考试中心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173961.85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173961.85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173961.85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368227</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天津市医学考试中心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173961.85</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173961.85</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173961.85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27626461.62</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19022649.62</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8603812.00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1272812.00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26353649.62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18083649.62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17816965.88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17816965.88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其他卫生健康管理事务支出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17816965.88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17816965.88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266683.74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266683.74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221683.74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221683.74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1272812.00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1272812.00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11980283.74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11980283.74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13253095.74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天津市医学考试中心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13253095.74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4649283.74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4536283.74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8603812.00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1272812.00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333812.00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11980283.74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3710283.74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3597283.74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3443600.00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3443600.00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3330600.00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其他卫生健康管理事务支出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3443600.00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3443600.00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3330600.00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113000.00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266683.74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266683.74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266683.74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221683.74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8020000.00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4255779.52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901600.00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1154179.52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280504.22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157931.08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88889.40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33683.74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4536283.74</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113000.00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天津市医学考试中心2025年度政府性基金预算财政拨款收入支出决算表为空表。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天津市医学考试中心2025年度国有资本经营预算财政拨款收入支出决算表为空表。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天津市医学考试中心2025年财政拨款“三公”经费支出决算表为空表。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天津市医学考试中心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8603812.00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8603812.00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333812.00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8270000.00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职业病防治（2025年）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医学考试中心业务保障经费（2025年市级）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27,626,461.62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增加1,582,829.38元，增长6.08%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本年业务量增加，基本收支增幅较大</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一般公共预算财政拨款收入13,253,095.74元、事业收入14,192,446.95元、其他收入6,957.08元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社会保障和就业支出1,272,812.00元、卫生健康支出26,353,649.62元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27,452,499.77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增加1,487,549.50元，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本年业务量增加，自有收入增加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一般公共预算财政拨款收入13,253,095.74元，占48.28%；事业收入14,192,446.95元，占51.70%；其他收入6,957.08元，占0.03%</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27,626,461.62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增加1,582,829.38元，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本年业务量增加，支出增加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基本支出19,022,649.62元，占68.86%；项目支出8,603,812.00元，占31.14%</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13,253,095.74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增加744,495.74元，增长5.95%，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本年财政拨款项目经费增加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一般公共预算财政拨款13,253,095.74元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社会保障和就业支出1,272,812.00元、卫生健康支出11,980,283.74元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天津市医学考试中心2025年度一般公共预算财政拨款支出合计13,253,095.74元，占本年支出合计的47.97%。与2024年度相比，一般公共预算财政拨款支出</w:t>
      </w:r>
      <w:r>
        <w:rPr>
          <w:rFonts w:eastAsia="仿宋_GB2312" w:hint="eastAsia"/>
          <w:sz w:val="30"/>
          <w:szCs w:val="30"/>
          <w:highlight w:val="none"/>
          <w:lang w:val="en-US" w:eastAsia="zh-CN"/>
        </w:rPr>
        <w:t xml:space="preserve">增加744,495.74元</w:t>
      </w:r>
      <w:r>
        <w:rPr>
          <w:rFonts w:eastAsia="仿宋_GB2312" w:hint="eastAsia"/>
          <w:sz w:val="30"/>
          <w:szCs w:val="30"/>
          <w:highlight w:val="none"/>
          <w:lang w:val="en-US" w:eastAsia="zh-CN"/>
        </w:rPr>
        <w:t xml:space="preserve">，增长5.95%</w:t>
      </w:r>
      <w:r>
        <w:rPr>
          <w:rFonts w:eastAsia="仿宋_GB2312" w:hint="eastAsia"/>
          <w:sz w:val="30"/>
          <w:szCs w:val="30"/>
          <w:highlight w:val="none"/>
          <w:lang w:val="en-US" w:eastAsia="zh-CN"/>
        </w:rPr>
        <w:t xml:space="preserve">，主要原因是本年财政拨款项目支出增加。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2025年度一般公共预算财政拨款支出13,253,095.74元，主要用于以下方面：</w:t>
      </w:r>
      <w:r>
        <w:rPr>
          <w:rFonts w:eastAsia="仿宋_GB2312" w:hint="eastAsia"/>
          <w:sz w:val="30"/>
          <w:szCs w:val="30"/>
          <w:highlight w:val="none"/>
        </w:rPr>
        <w:t xml:space="preserve">社会保障和就业支出（类）支出1,272,812.00元，占9.60%，卫生健康支出（类）支出11,980,283.74元，占90.40%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2025年度一般公共预算财政拨款支出年初预算为12,721,000.00元，支出决算为13,253,095.74元</w:t>
      </w:r>
      <w:r>
        <w:rPr>
          <w:rFonts w:eastAsia="仿宋_GB2312" w:hint="eastAsia"/>
          <w:sz w:val="30"/>
          <w:szCs w:val="30"/>
          <w:highlight w:val="none"/>
          <w:lang w:val="en-US" w:eastAsia="zh-CN"/>
        </w:rPr>
        <w:t xml:space="preserve">，完成年初预算的104.18%</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机关事业单位基本养老保险缴费支出（项）年初预算为626,000.00元，支出决算为626,000.00元，完成年初预算的100.00%，决算数与年初预算数持平的主要原因是：严格按照财政无预算不支出要求安排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职业年金缴费支出（项）年初预算为313,000.00元，支出决算为313,000.00元，完成年初预算的100.00%，决算数与年初预算数持平的主要原因是：严格按照财政无预算不支出要求安排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3.社会保障和就业支出（类）其他社会保障和就业支出（款）其他社会保障和就业支出（项）年初预算为0.00元，支出决算为333,812.00元，决算数大于年初预算数的主要原因是：本年临时增加离休干部抚恤金项目。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卫生健康管理事务（款）其他卫生健康管理事务支出（项）年初预算为3,242,000.00元，支出决算为3,443,600.00元，完成年初预算的106.22%，决算数大于年初预算数的主要原因是：年中追加在职人员经费预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公共卫生（款）基本公共卫生服务（项）年初预算为250,000.00元，支出决算为250,000.00元，完成年初预算的100.00%，决算数与年初预算数持平的主要原因是：严格按照财政无预算不支出要求安排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事业单位医疗（项）年初预算为225,000.00元，支出决算为221,683.74元，完成年初预算的98.53%，决算数小于年初预算数的主要原因是：因离休干部去世，离休医疗费未全部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其他行政事业单位医疗支出（项）年初预算为45,000.00元，支出决算为45,000.00元，完成年初预算的100.00%，决算数与年初预算数持平的主要原因是：严格按照财政无预算不支出要求安排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其他卫生健康支出（款）其他卫生健康支出（项）年初预算为8,020,000.00元，支出决算为8,020,000.00元，完成年初预算的100.00%，决算数与年初预算数持平的主要原因是：严格按照财政无预算不支出要求安排预算支出。</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天津市医学考试中心2025年度一般公共预算财政拨款基本支出合计4,649,283.74元，与2024年度相比</w:t>
      </w:r>
      <w:r>
        <w:rPr>
          <w:rFonts w:eastAsia="仿宋_GB2312" w:hint="eastAsia"/>
          <w:sz w:val="30"/>
          <w:szCs w:val="30"/>
          <w:highlight w:val="none"/>
          <w:lang w:val="en-US" w:eastAsia="zh-CN"/>
        </w:rPr>
        <w:t xml:space="preserve">增加340,683.74元，</w:t>
      </w:r>
      <w:r>
        <w:rPr>
          <w:rFonts w:eastAsia="仿宋_GB2312" w:hint="eastAsia"/>
          <w:sz w:val="30"/>
          <w:szCs w:val="30"/>
          <w:highlight w:val="none"/>
          <w:lang w:val="en-US" w:eastAsia="zh-CN"/>
        </w:rPr>
        <w:t xml:space="preserve">主要原因是因政策性增资，人员支出增加。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人员经费4,536,283.74元，主要包括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基本工资、津贴补贴、绩效工资、机关事业单位基本养老保险缴费、职业年金缴费、职工基本医疗保险缴费、住房公积金、医疗费、其他工资福利支出、离休费、退休费、医疗费补助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公用经费113,000.00元，主要包括</w:t>
      </w:r>
      <w:r>
        <w:rPr>
          <w:rFonts w:eastAsia="仿宋_GB2312" w:hint="eastAsia"/>
          <w:sz w:val="30"/>
          <w:szCs w:val="30"/>
          <w:highlight w:val="none"/>
          <w:lang w:val="en-US" w:eastAsia="zh-CN"/>
        </w:rPr>
        <w:t xml:space="preserve">办公费、手续费、邮电费、工会经费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医学考试中心2025年政府采购支出总额829,594.70元，其中：政府采购货物支出29,594.70元、政府采购工程支出0.00元、政府采购服务支出800,000.00元。授予中小企业合同金额829,594.70元，占政府采购支出总额的100.00%，其中：授予小微企业合同金额29,594.70元，占政府采购支出总额的3.57%；货物采购授予中小企业合同金额占货物支出金额的100.00%，工程采购授予中小企业合同金额占工程支出金额的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截至2025年12月31日，天津市医学考试中心共有车辆4辆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其他用车4辆</w:t>
      </w:r>
      <w:r>
        <w:rPr>
          <w:rFonts w:eastAsia="仿宋_GB2312" w:hint="eastAsia"/>
          <w:sz w:val="30"/>
          <w:szCs w:val="30"/>
          <w:highlight w:val="none"/>
          <w:lang w:val="en-US" w:eastAsia="zh-CN"/>
        </w:rPr>
        <w:t xml:space="preserve">，其他用车主要包括考试等业务用车</w:t>
      </w:r>
      <w:r>
        <w:rPr>
          <w:rFonts w:eastAsia="仿宋_GB2312" w:hint="eastAsia"/>
          <w:sz w:val="30"/>
          <w:szCs w:val="30"/>
          <w:highlight w:val="none"/>
          <w:lang w:val="en-US" w:eastAsia="zh-CN"/>
        </w:rPr>
        <w:t xml:space="preserve">。单价100万元以上的设备0台（套）。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根据预算绩效管理要求，天津市医学考试中心2025年度已对4个市级项目开展绩效自评，涉及金额8,603,812.00元，自评结果已随部门决算一并公开。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天津市医学考试中心不属于乡、镇、街级单位，不涉及公开2025年度教育、医疗卫生、社会保障和就业、住房保障、涉农补贴等民生支出情况。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8C4609C1-98BC-4A3C-AA2B-A621123A5FAA}"/>
    <w:embedBold r:id="rId2" w:subsetted="1" w:fontKey="{D60753AB-7863-4B33-B1E3-B62C3FE2FA30}"/>
  </w:font>
  <w:font w:name="Cambria">
    <w:panose1 w:val="02040503050406030204"/>
    <w:charset w:val="00"/>
    <w:family w:val="roman"/>
    <w:pitch w:val="default"/>
    <w:sig w:usb0="E00006FF" w:usb1="420024FF" w:usb2="02000000" w:usb3="00000000" w:csb0="2000019F" w:csb1="00000000"/>
    <w:embedRegular r:id="rId3" w:fontKey="{FDBEC167-FAA9-44D1-A7B0-696F4BCAF65F}"/>
  </w:font>
  <w:font w:name="Calibri">
    <w:panose1 w:val="020F0502020204030204"/>
    <w:charset w:val="00"/>
    <w:family w:val="swiss"/>
    <w:pitch w:val="default"/>
    <w:sig w:usb0="E4002EFF" w:usb1="C200247B" w:usb2="00000009" w:usb3="00000000" w:csb0="200001FF" w:csb1="00000000"/>
    <w:embedRegular r:id="rId4" w:fontKey="{12BBDABC-3881-4E87-B52D-A9CED8A929F8}"/>
  </w:font>
  <w:font w:name="黑体">
    <w:panose1 w:val="02010609060101010101"/>
    <w:charset w:val="FFFFFF86"/>
    <w:family w:val="auto"/>
    <w:pitch w:val="default"/>
    <w:sig w:usb0="800002BF" w:usb1="38CF7CFA" w:usb2="00000016" w:usb3="00000000" w:csb0="00040001" w:csb1="00000000"/>
    <w:embedRegular r:id="rId5" w:subsetted="1" w:fontKey="{8C427DD9-D73A-444B-B4CD-4AAE74A928BA}"/>
    <w:embedBold r:id="rId6" w:subsetted="1" w:fontKey="{51D79E48-D552-40E2-9022-1CE0CA139360}"/>
  </w:font>
  <w:font w:name="方正小标宋简体">
    <w:altName w:val="黑体"/>
    <w:panose1 w:val="02000000000000000000"/>
    <w:charset w:val="FFFFFF86"/>
    <w:family w:val="auto"/>
    <w:pitch w:val="default"/>
    <w:sig w:usb0="00000001" w:usb1="08000000" w:usb2="00000000" w:usb3="00000000" w:csb0="00040000" w:csb1="00000000"/>
    <w:embedRegular r:id="rId7" w:fontKey="{ECF5C8E0-5302-4A3F-B622-AD7808158D65}"/>
    <w:embedBold r:id="rId8" w:fontKey="{4E93564B-B514-456A-ACF9-EE3036132BD0}"/>
  </w:font>
  <w:font w:name="仿宋">
    <w:panose1 w:val="02010609060101010101"/>
    <w:charset w:val="FFFFFF86"/>
    <w:family w:val="auto"/>
    <w:pitch w:val="default"/>
    <w:sig w:usb0="800002BF" w:usb1="38CF7CFA" w:usb2="00000016" w:usb3="00000000" w:csb0="00040001" w:csb1="00000000"/>
    <w:embedRegular r:id="rId9" w:subsetted="1" w:fontKey="{2AD2FEC1-066D-4469-AA63-29D43D273AE5}"/>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1629730B-2AB7-4BAF-9663-0EE97CCEB19E}"/>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9E1AA605-C678-41FD-9737-EE5A310126F7}"/>
    <w:embedBold r:id="rId12" w:subsetted="1" w:fontKey="{4FEF7A12-E07B-4A5F-9528-F5EEFBE21322}"/>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