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体检注意事项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一、  参加体检人员来院时请务必佩戴口罩。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二、  体检前三天饮食宜清淡，体检当天早晨空腹，暂停服用不必要的药品（降压药、降糖药除外）。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三 、 体检时间：参加体检人员必须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在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早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7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: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0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0前准时到达。</w:t>
      </w:r>
    </w:p>
    <w:p>
      <w:pPr>
        <w:numPr>
          <w:ilvl w:val="0"/>
          <w:numId w:val="1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流程：门诊楼东侧小门入口处测量体温并出示健康码→前往三楼体检科登记窗口有序排队（疫情期间请间隔一米以上安全距离）出示身份证及测体温条，领取指引单后听从窗口人员安排到各相应科室体检，体检完毕将指引单交回三楼体检科登记窗口。</w:t>
      </w:r>
    </w:p>
    <w:p>
      <w:pPr>
        <w:numPr>
          <w:ilvl w:val="0"/>
          <w:numId w:val="1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注意事项：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请不要携带贵重饰品，以免检查时不慎遗失；请不要穿连衣裙及有金属装饰的上衣，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内衣也不要有金属扣和金属钢托，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以免检查时的不便或影响X线片诊断；孕妇或准备怀孕者禁做放射线检查，体内有金属者不能做核磁检查。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B超检查：肝胆胰脾肾彩超需要空腹；盆腔（如膀胱、子宫附件、前列腺项目）需待膀胱充盈后检查（注意：尽可能憋住晨尿）。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妇科检查：月经期间暂停检查，未婚女性原则上不做妇检，做妇科检查时应排空尿。月经期间也不能做尿检。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体检结束后将体检指引单交回体检登记处，10个工作日由主检医师做主检后电话联系反馈给单位。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体检项目必须当日完成，否则视为自动放弃。女同志如遇经期不方便检查妇科及尿</w:t>
      </w:r>
      <w:bookmarkStart w:id="0" w:name="_GoBack"/>
      <w:bookmarkEnd w:id="0"/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需通知体检科。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如有放弃项目交回指引单时请告知体检科工作人员并签字确</w:t>
      </w:r>
      <w:r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  <w:t>认方可离开。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 w:val="0"/>
          <w:color w:val="auto"/>
          <w:kern w:val="2"/>
          <w:sz w:val="28"/>
          <w:szCs w:val="28"/>
          <w:lang w:val="en-US" w:eastAsia="zh-CN" w:bidi="ar-SA"/>
        </w:rPr>
        <w:t>体检期间（一楼急诊彩超室、一楼CT检查室）如有急诊患者做检查的情况下，体检人员错后检查，急诊患者优先检查！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51700"/>
    <w:multiLevelType w:val="multilevel"/>
    <w:tmpl w:val="0EE51700"/>
    <w:lvl w:ilvl="0" w:tentative="0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abstractNum w:abstractNumId="1">
    <w:nsid w:val="51D10C84"/>
    <w:multiLevelType w:val="multilevel"/>
    <w:tmpl w:val="51D10C84"/>
    <w:lvl w:ilvl="0" w:tentative="0">
      <w:start w:val="1"/>
      <w:numFmt w:val="decimal"/>
      <w:lvlText w:val="（%1）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86D7B"/>
    <w:rsid w:val="0009612F"/>
    <w:rsid w:val="00185582"/>
    <w:rsid w:val="00264620"/>
    <w:rsid w:val="00392040"/>
    <w:rsid w:val="00405795"/>
    <w:rsid w:val="006464E1"/>
    <w:rsid w:val="007F0E33"/>
    <w:rsid w:val="00861E70"/>
    <w:rsid w:val="00890113"/>
    <w:rsid w:val="008B2517"/>
    <w:rsid w:val="00940F11"/>
    <w:rsid w:val="00A3496D"/>
    <w:rsid w:val="00A60698"/>
    <w:rsid w:val="00AA0A18"/>
    <w:rsid w:val="00DB5FB3"/>
    <w:rsid w:val="00E109E5"/>
    <w:rsid w:val="00E13671"/>
    <w:rsid w:val="00F10263"/>
    <w:rsid w:val="00FD6B47"/>
    <w:rsid w:val="3FBF5883"/>
    <w:rsid w:val="44FF3BFE"/>
    <w:rsid w:val="594B02DD"/>
    <w:rsid w:val="6C0952D2"/>
    <w:rsid w:val="6D4861B1"/>
    <w:rsid w:val="72487A96"/>
    <w:rsid w:val="760E01F4"/>
    <w:rsid w:val="FEBA0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2021-06-03T14:25:00Z</dcterms:created>
  <dc:creator>Administrator</dc:creator>
  <cp:lastModifiedBy>kylin</cp:lastModifiedBy>
  <dcterms:modified xsi:type="dcterms:W3CDTF">2022-11-02T10:00:04Z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